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73" w:rsidRDefault="0093584E">
      <w:pPr>
        <w:pStyle w:val="Iauiue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1</w:t>
      </w:r>
    </w:p>
    <w:p w:rsidR="00E61373" w:rsidRDefault="0093584E">
      <w:pPr>
        <w:pStyle w:val="Iauiue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приказу АО «НЭСК»</w:t>
      </w:r>
    </w:p>
    <w:p w:rsidR="00E61373" w:rsidRDefault="0093584E">
      <w:pPr>
        <w:pStyle w:val="Iauiue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__________ № ______</w:t>
      </w:r>
    </w:p>
    <w:p w:rsidR="00E61373" w:rsidRDefault="00E61373">
      <w:pPr>
        <w:pStyle w:val="Iauiue"/>
        <w:jc w:val="right"/>
        <w:rPr>
          <w:b/>
          <w:sz w:val="22"/>
          <w:szCs w:val="22"/>
          <w:lang w:val="ru-RU"/>
        </w:rPr>
      </w:pPr>
    </w:p>
    <w:p w:rsidR="00E61373" w:rsidRDefault="00E61373">
      <w:pPr>
        <w:pStyle w:val="Iauiue"/>
        <w:jc w:val="center"/>
        <w:rPr>
          <w:b/>
          <w:sz w:val="22"/>
          <w:szCs w:val="22"/>
          <w:lang w:val="ru-RU"/>
        </w:rPr>
      </w:pPr>
    </w:p>
    <w:p w:rsidR="00E61373" w:rsidRDefault="00E61373">
      <w:pPr>
        <w:rPr>
          <w:rFonts w:eastAsia="Calibri"/>
          <w:bCs/>
          <w:sz w:val="22"/>
          <w:szCs w:val="22"/>
          <w:lang w:val="ru-RU"/>
        </w:rPr>
      </w:pPr>
    </w:p>
    <w:p w:rsidR="00B2230B" w:rsidRDefault="0093584E">
      <w:pPr>
        <w:tabs>
          <w:tab w:val="left" w:pos="142"/>
          <w:tab w:val="left" w:pos="284"/>
          <w:tab w:val="left" w:pos="567"/>
          <w:tab w:val="left" w:pos="851"/>
        </w:tabs>
        <w:jc w:val="center"/>
        <w:outlineLvl w:val="0"/>
        <w:rPr>
          <w:b/>
          <w:sz w:val="28"/>
          <w:szCs w:val="28"/>
          <w:highlight w:val="white"/>
          <w:lang w:val="ru-RU"/>
        </w:rPr>
      </w:pPr>
      <w:r w:rsidRPr="00B2230B">
        <w:rPr>
          <w:b/>
          <w:sz w:val="28"/>
          <w:szCs w:val="28"/>
          <w:highlight w:val="white"/>
          <w:lang w:val="ru-RU"/>
        </w:rPr>
        <w:t xml:space="preserve">Правила акции </w:t>
      </w:r>
    </w:p>
    <w:p w:rsidR="00E61373" w:rsidRPr="00B2230B" w:rsidRDefault="0093584E">
      <w:pPr>
        <w:tabs>
          <w:tab w:val="left" w:pos="142"/>
          <w:tab w:val="left" w:pos="284"/>
          <w:tab w:val="left" w:pos="567"/>
          <w:tab w:val="left" w:pos="851"/>
        </w:tabs>
        <w:jc w:val="center"/>
        <w:outlineLvl w:val="0"/>
        <w:rPr>
          <w:b/>
          <w:bCs/>
          <w:color w:val="000000"/>
          <w:sz w:val="28"/>
          <w:szCs w:val="28"/>
          <w:highlight w:val="white"/>
          <w:lang w:val="ru-RU"/>
        </w:rPr>
      </w:pPr>
      <w:bookmarkStart w:id="0" w:name="_GoBack"/>
      <w:bookmarkEnd w:id="0"/>
      <w:r w:rsidRPr="00B2230B">
        <w:rPr>
          <w:b/>
          <w:sz w:val="28"/>
          <w:szCs w:val="28"/>
          <w:highlight w:val="white"/>
          <w:lang w:val="ru-RU"/>
        </w:rPr>
        <w:t>«Оплата электроэнергии в АО «НЭСК» через СБП с выгодой</w:t>
      </w:r>
      <w:r w:rsidRPr="00B2230B">
        <w:rPr>
          <w:b/>
          <w:bCs/>
          <w:color w:val="000000"/>
          <w:sz w:val="28"/>
          <w:szCs w:val="28"/>
          <w:highlight w:val="white"/>
          <w:lang w:val="ru-RU"/>
        </w:rPr>
        <w:t xml:space="preserve">» </w:t>
      </w:r>
    </w:p>
    <w:p w:rsidR="00E61373" w:rsidRPr="00B2230B" w:rsidRDefault="0093584E">
      <w:pPr>
        <w:tabs>
          <w:tab w:val="left" w:pos="142"/>
          <w:tab w:val="left" w:pos="284"/>
          <w:tab w:val="left" w:pos="567"/>
          <w:tab w:val="left" w:pos="851"/>
        </w:tabs>
        <w:jc w:val="center"/>
        <w:outlineLvl w:val="0"/>
        <w:rPr>
          <w:b/>
          <w:sz w:val="28"/>
          <w:szCs w:val="28"/>
          <w:highlight w:val="white"/>
          <w:lang w:val="ru-RU"/>
        </w:rPr>
      </w:pPr>
      <w:r w:rsidRPr="00B2230B">
        <w:rPr>
          <w:b/>
          <w:bCs/>
          <w:color w:val="000000"/>
          <w:sz w:val="28"/>
          <w:szCs w:val="28"/>
          <w:highlight w:val="white"/>
          <w:lang w:val="ru-RU"/>
        </w:rPr>
        <w:t>в рамках Программы лояльности АО «НСПК»</w:t>
      </w:r>
    </w:p>
    <w:p w:rsidR="00E61373" w:rsidRPr="00B2230B" w:rsidRDefault="0093584E">
      <w:pPr>
        <w:jc w:val="center"/>
        <w:rPr>
          <w:b/>
          <w:sz w:val="28"/>
          <w:szCs w:val="28"/>
          <w:highlight w:val="white"/>
        </w:rPr>
      </w:pPr>
      <w:r w:rsidRPr="00B2230B">
        <w:rPr>
          <w:b/>
          <w:sz w:val="28"/>
          <w:szCs w:val="28"/>
          <w:highlight w:val="white"/>
        </w:rPr>
        <w:t>(</w:t>
      </w:r>
      <w:proofErr w:type="spellStart"/>
      <w:proofErr w:type="gramStart"/>
      <w:r w:rsidRPr="00B2230B">
        <w:rPr>
          <w:b/>
          <w:sz w:val="28"/>
          <w:szCs w:val="28"/>
          <w:highlight w:val="white"/>
        </w:rPr>
        <w:t>далее</w:t>
      </w:r>
      <w:proofErr w:type="spellEnd"/>
      <w:proofErr w:type="gramEnd"/>
      <w:r w:rsidRPr="00B2230B">
        <w:rPr>
          <w:b/>
          <w:sz w:val="28"/>
          <w:szCs w:val="28"/>
          <w:highlight w:val="white"/>
        </w:rPr>
        <w:t xml:space="preserve"> – </w:t>
      </w:r>
      <w:proofErr w:type="spellStart"/>
      <w:r w:rsidRPr="00B2230B">
        <w:rPr>
          <w:b/>
          <w:sz w:val="28"/>
          <w:szCs w:val="28"/>
          <w:highlight w:val="white"/>
        </w:rPr>
        <w:t>Правила</w:t>
      </w:r>
      <w:proofErr w:type="spellEnd"/>
      <w:r w:rsidRPr="00B2230B">
        <w:rPr>
          <w:b/>
          <w:sz w:val="28"/>
          <w:szCs w:val="28"/>
          <w:highlight w:val="white"/>
        </w:rPr>
        <w:t xml:space="preserve">, </w:t>
      </w:r>
      <w:proofErr w:type="spellStart"/>
      <w:r w:rsidRPr="00B2230B">
        <w:rPr>
          <w:b/>
          <w:sz w:val="28"/>
          <w:szCs w:val="28"/>
          <w:highlight w:val="white"/>
        </w:rPr>
        <w:t>Акция</w:t>
      </w:r>
      <w:proofErr w:type="spellEnd"/>
      <w:r w:rsidRPr="00B2230B">
        <w:rPr>
          <w:b/>
          <w:sz w:val="28"/>
          <w:szCs w:val="28"/>
          <w:highlight w:val="white"/>
        </w:rPr>
        <w:t>)</w:t>
      </w:r>
    </w:p>
    <w:p w:rsidR="00E61373" w:rsidRPr="00B2230B" w:rsidRDefault="00E61373">
      <w:pPr>
        <w:ind w:right="3"/>
        <w:rPr>
          <w:rFonts w:eastAsia="Arial"/>
          <w:b/>
          <w:color w:val="000000"/>
          <w:sz w:val="28"/>
          <w:szCs w:val="28"/>
          <w:highlight w:val="white"/>
        </w:rPr>
      </w:pPr>
    </w:p>
    <w:p w:rsidR="00E61373" w:rsidRDefault="00E61373">
      <w:pPr>
        <w:ind w:right="3" w:firstLine="567"/>
        <w:jc w:val="center"/>
        <w:rPr>
          <w:rFonts w:eastAsia="Arial"/>
          <w:color w:val="000000"/>
          <w:sz w:val="22"/>
          <w:szCs w:val="22"/>
          <w:highlight w:val="white"/>
        </w:rPr>
      </w:pPr>
    </w:p>
    <w:p w:rsidR="00E61373" w:rsidRDefault="0093584E">
      <w:pPr>
        <w:numPr>
          <w:ilvl w:val="0"/>
          <w:numId w:val="4"/>
        </w:numPr>
        <w:ind w:left="0" w:firstLine="567"/>
        <w:jc w:val="both"/>
        <w:rPr>
          <w:rFonts w:eastAsia="Arial"/>
          <w:color w:val="000000"/>
          <w:sz w:val="22"/>
          <w:szCs w:val="22"/>
          <w:highlight w:val="white"/>
        </w:rPr>
      </w:pPr>
      <w:proofErr w:type="spellStart"/>
      <w:r>
        <w:rPr>
          <w:rFonts w:eastAsia="Arial"/>
          <w:b/>
          <w:color w:val="000000"/>
          <w:sz w:val="22"/>
          <w:szCs w:val="22"/>
          <w:highlight w:val="white"/>
          <w:lang w:eastAsia="ru-RU"/>
        </w:rPr>
        <w:t>Общие</w:t>
      </w:r>
      <w:proofErr w:type="spellEnd"/>
      <w:r>
        <w:rPr>
          <w:rFonts w:eastAsia="Arial"/>
          <w:b/>
          <w:color w:val="000000"/>
          <w:sz w:val="22"/>
          <w:szCs w:val="22"/>
          <w:highlight w:val="white"/>
          <w:lang w:eastAsia="ru-RU"/>
        </w:rPr>
        <w:t xml:space="preserve"> </w:t>
      </w:r>
      <w:proofErr w:type="spellStart"/>
      <w:r>
        <w:rPr>
          <w:rFonts w:eastAsia="Arial"/>
          <w:b/>
          <w:color w:val="000000"/>
          <w:sz w:val="22"/>
          <w:szCs w:val="22"/>
          <w:highlight w:val="white"/>
          <w:lang w:eastAsia="ru-RU"/>
        </w:rPr>
        <w:t>положения</w:t>
      </w:r>
      <w:proofErr w:type="spellEnd"/>
    </w:p>
    <w:p w:rsidR="00E61373" w:rsidRDefault="00E61373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</w:rPr>
      </w:pPr>
    </w:p>
    <w:p w:rsidR="00E61373" w:rsidRPr="00B2230B" w:rsidRDefault="0093584E">
      <w:pPr>
        <w:ind w:right="1" w:firstLine="567"/>
        <w:jc w:val="both"/>
        <w:rPr>
          <w:rFonts w:eastAsia="Arial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1.1. Цель Акции – привлечение внимания, поддержание и увеличение интереса и лояльности физических лиц к товарным знакам, услугам и сервисам АО «НСПК», повышение их узнаваемости с целью их дальнейшего продвижения на рынке, а также </w:t>
      </w:r>
      <w:r>
        <w:rPr>
          <w:rFonts w:eastAsia="Arial"/>
          <w:sz w:val="22"/>
          <w:szCs w:val="22"/>
          <w:highlight w:val="white"/>
          <w:lang w:val="ru-RU" w:eastAsia="ru-RU"/>
        </w:rPr>
        <w:t>стимулирование к активному</w:t>
      </w:r>
      <w:r>
        <w:rPr>
          <w:rFonts w:eastAsia="Arial"/>
          <w:sz w:val="22"/>
          <w:szCs w:val="22"/>
          <w:highlight w:val="white"/>
          <w:lang w:val="ru-RU" w:eastAsia="ru-RU"/>
        </w:rPr>
        <w:t xml:space="preserve"> использованию Системы быстрых платежей (СБП) при оплате услуг ЖКУ в соответствии с настоящими Правилами.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sz w:val="22"/>
          <w:szCs w:val="22"/>
          <w:highlight w:val="white"/>
          <w:lang w:val="ru-RU" w:eastAsia="ru-RU"/>
        </w:rPr>
        <w:t>1.2. Организатор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Акции – Оператор программы лояльности АО «НСПК» Акционерное общество «Национальная система платежных карт» (АО «НСПК»). 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Адрес местонахождения: Россия, 115184, г. Москва, ул. Большая Татарская, д.11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Адрес для корреспонденции</w:t>
      </w:r>
      <w:bookmarkStart w:id="1" w:name="_Hlk98318782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: ул. Большая Татарская, д. 11 А, Москва, 115184, Россия</w:t>
      </w:r>
      <w:bookmarkEnd w:id="1"/>
    </w:p>
    <w:p w:rsidR="00E61373" w:rsidRPr="00B2230B" w:rsidRDefault="0093584E">
      <w:pPr>
        <w:ind w:right="4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ИНН </w:t>
      </w:r>
      <w:bookmarkStart w:id="2" w:name="_Hlk98318798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7706812159</w:t>
      </w:r>
      <w:bookmarkEnd w:id="2"/>
    </w:p>
    <w:p w:rsidR="00E61373" w:rsidRPr="00B2230B" w:rsidRDefault="0093584E">
      <w:pPr>
        <w:ind w:right="4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КПП </w:t>
      </w:r>
      <w:bookmarkStart w:id="3" w:name="_Hlk98318805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997950001</w:t>
      </w:r>
      <w:bookmarkEnd w:id="3"/>
    </w:p>
    <w:p w:rsidR="00E61373" w:rsidRPr="00B2230B" w:rsidRDefault="0093584E">
      <w:pPr>
        <w:ind w:right="5111" w:firstLine="567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ОГРН </w:t>
      </w:r>
      <w:bookmarkStart w:id="4" w:name="_Hlk98318760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1147746831352</w:t>
      </w:r>
      <w:bookmarkEnd w:id="4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Тел. +7 (495) 705-99-99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1.3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. Акция проводится при участии Акционерного общества «Независимая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энергосбытовая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компания Краснодарского края» (АО «НЭСК»)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Адрес местонахождения: 350049, Краснодар, ул. Красных Партизан, 192, офис 802;</w:t>
      </w:r>
    </w:p>
    <w:p w:rsidR="00E61373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Адрес для корреспонденции: 350049, Краснодар, ул. Крас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ных Партизан, 192, офис 802;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ИНН 2308091759 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КПП 230801001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ОГРН 1032304155102 </w:t>
      </w:r>
    </w:p>
    <w:p w:rsidR="00E61373" w:rsidRPr="00B2230B" w:rsidRDefault="0093584E">
      <w:pPr>
        <w:ind w:right="1" w:firstLine="567"/>
        <w:jc w:val="both"/>
        <w:rPr>
          <w:color w:val="000000" w:themeColor="text1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Тел. 8 (861) 992 70 20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1.4. Акция проводится на условиях публичной оферты.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1.5. Информация о банках-эмитентах, присоединившихся к Программе лояльности АО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 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«НСПК», размещена (</w:t>
      </w:r>
      <w:hyperlink r:id="rId8" w:tooltip="https://vamprivet.ru/" w:history="1"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https</w:t>
        </w:r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://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vamprivet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.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ru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/</w:t>
        </w:r>
      </w:hyperlink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). 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1.6. Способы информирования об Акции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Информация об Акции, Организаторе, банках-эмитентах, присоединившихся к Программе лояльности АО «НСПК», правилах проведения Акции, Пр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авилах программы лояльности                    АО «НСПК», в том числе регулирующих порядок начисления и выдачи Премии (далее –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) размещается на официальном сайте АО «НСПК» в информационно-телекоммуникационной сети Интернет по адресу: 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https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://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vamprive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t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.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ru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(далее – Сайт). Также такую информацию можно получить: 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- по телефону Центра клиентской поддержки 8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 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800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 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100-54-64 (звонок по России бесплатный);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- в онлайн-чате (авторизованная зона) на Сайте или в мобильном приложении «Привет!» (авторизованная зона);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- отправив письмо-запрос на адрес электронной почты: </w:t>
      </w:r>
      <w:hyperlink r:id="rId9" w:tooltip="mailto:info@nspk.ru" w:history="1">
        <w:r>
          <w:rPr>
            <w:rFonts w:eastAsia="Arial"/>
            <w:color w:val="0000FF" w:themeColor="hyperlink"/>
            <w:sz w:val="22"/>
            <w:szCs w:val="22"/>
            <w:highlight w:val="white"/>
            <w:u w:val="single"/>
            <w:lang w:eastAsia="ru-RU"/>
          </w:rPr>
          <w:t>info</w:t>
        </w:r>
        <w:r>
          <w:rPr>
            <w:rFonts w:eastAsia="Arial"/>
            <w:color w:val="0000FF" w:themeColor="hyperlink"/>
            <w:sz w:val="22"/>
            <w:szCs w:val="22"/>
            <w:highlight w:val="white"/>
            <w:u w:val="single"/>
            <w:lang w:val="ru-RU" w:eastAsia="ru-RU"/>
          </w:rPr>
          <w:t>@</w:t>
        </w:r>
        <w:proofErr w:type="spellStart"/>
        <w:r>
          <w:rPr>
            <w:rFonts w:eastAsia="Arial"/>
            <w:color w:val="0000FF" w:themeColor="hyperlink"/>
            <w:sz w:val="22"/>
            <w:szCs w:val="22"/>
            <w:highlight w:val="white"/>
            <w:u w:val="single"/>
            <w:lang w:eastAsia="ru-RU"/>
          </w:rPr>
          <w:t>nspk</w:t>
        </w:r>
        <w:proofErr w:type="spellEnd"/>
        <w:r>
          <w:rPr>
            <w:rFonts w:eastAsia="Arial"/>
            <w:color w:val="0000FF" w:themeColor="hyperlink"/>
            <w:sz w:val="22"/>
            <w:szCs w:val="22"/>
            <w:highlight w:val="white"/>
            <w:u w:val="single"/>
            <w:lang w:val="ru-RU" w:eastAsia="ru-RU"/>
          </w:rPr>
          <w:t>.</w:t>
        </w:r>
        <w:proofErr w:type="spellStart"/>
        <w:r>
          <w:rPr>
            <w:rFonts w:eastAsia="Arial"/>
            <w:color w:val="0000FF" w:themeColor="hyperlink"/>
            <w:sz w:val="22"/>
            <w:szCs w:val="22"/>
            <w:highlight w:val="white"/>
            <w:u w:val="single"/>
            <w:lang w:eastAsia="ru-RU"/>
          </w:rPr>
          <w:t>ru</w:t>
        </w:r>
        <w:proofErr w:type="spellEnd"/>
      </w:hyperlink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.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1.7. Об изменениях условий проведения Акции Участники информируются в порядке, предусмотренном Правилами программы лояльности А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О «НСПК».</w:t>
      </w:r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1.8. Правообладателем мобильного приложения «НЭСК» является АО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 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«НЭСК». Мобильное приложение </w:t>
      </w:r>
      <w:r>
        <w:rPr>
          <w:rFonts w:eastAsia="Arial"/>
          <w:bCs/>
          <w:color w:val="000000"/>
          <w:sz w:val="22"/>
          <w:szCs w:val="22"/>
          <w:highlight w:val="white"/>
          <w:lang w:val="ru-RU" w:eastAsia="ru-RU"/>
        </w:rPr>
        <w:t>НЭСК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доступно для установки на мобильные устройства по следующим адресам: </w:t>
      </w:r>
    </w:p>
    <w:p w:rsidR="00E61373" w:rsidRPr="00B2230B" w:rsidRDefault="0093584E">
      <w:pPr>
        <w:ind w:firstLine="567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в 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App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Store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по </w:t>
      </w:r>
      <w:proofErr w:type="gram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адресу: </w:t>
      </w:r>
      <w:r>
        <w:rPr>
          <w:sz w:val="22"/>
          <w:szCs w:val="22"/>
          <w:highlight w:val="white"/>
          <w:lang w:val="ru-RU"/>
        </w:rPr>
        <w:t xml:space="preserve"> 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https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://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apps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.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apple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.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com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/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ru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/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app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/%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D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0%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BD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%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D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1%8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D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%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D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1%81%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D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0%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BA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/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id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1526461676</w:t>
      </w:r>
      <w:proofErr w:type="gram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</w:t>
      </w:r>
    </w:p>
    <w:p w:rsidR="00E61373" w:rsidRDefault="0093584E">
      <w:pPr>
        <w:rPr>
          <w:rFonts w:eastAsia="Arial"/>
          <w:color w:val="000000"/>
          <w:sz w:val="22"/>
          <w:szCs w:val="22"/>
          <w:highlight w:val="white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       </w:t>
      </w:r>
      <w:proofErr w:type="gram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в</w:t>
      </w:r>
      <w:proofErr w:type="gramEnd"/>
      <w:r>
        <w:rPr>
          <w:rFonts w:eastAsia="Arial"/>
          <w:color w:val="000000"/>
          <w:sz w:val="22"/>
          <w:szCs w:val="22"/>
          <w:highlight w:val="white"/>
          <w:lang w:eastAsia="ru-RU"/>
        </w:rPr>
        <w:t xml:space="preserve"> Google Play Market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по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eastAsia="ru-RU"/>
        </w:rPr>
        <w:t xml:space="preserve"> адресу:</w:t>
      </w:r>
      <w:hyperlink r:id="rId10" w:tooltip="https://play.google.com/store/apps/details?id=ru.nesk.android" w:history="1"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https://play.google.com/store/apps/details?id=ru.nesk.android</w:t>
        </w:r>
      </w:hyperlink>
    </w:p>
    <w:p w:rsidR="00E61373" w:rsidRPr="00B2230B" w:rsidRDefault="0093584E">
      <w:pPr>
        <w:ind w:firstLine="567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в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RuStore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по адресу: </w:t>
      </w:r>
      <w:hyperlink r:id="rId11" w:tooltip="https://www.rustore.ru/catalog/app/ru.nesk.android" w:history="1"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https</w:t>
        </w:r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://</w:t>
        </w:r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www</w:t>
        </w:r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.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rustore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.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ru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/</w:t>
        </w:r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catalog</w:t>
        </w:r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/</w:t>
        </w:r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app</w:t>
        </w:r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/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ru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.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nesk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.</w:t>
        </w:r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android</w:t>
        </w:r>
      </w:hyperlink>
    </w:p>
    <w:p w:rsidR="00E61373" w:rsidRPr="00B2230B" w:rsidRDefault="0093584E">
      <w:pPr>
        <w:ind w:firstLine="567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в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AppGalery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по адресу: 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https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://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appgallery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.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huawei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.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com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/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app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/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C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106432423?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sharePrepath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=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ag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&amp;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locale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=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eastAsia="ru-RU"/>
        </w:rPr>
        <w:t>ru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_</w:t>
      </w:r>
      <w:r>
        <w:rPr>
          <w:rFonts w:eastAsia="Arial"/>
          <w:color w:val="000000"/>
          <w:sz w:val="22"/>
          <w:szCs w:val="22"/>
          <w:highlight w:val="white"/>
          <w:lang w:eastAsia="ru-RU"/>
        </w:rPr>
        <w:t>RU</w:t>
      </w:r>
    </w:p>
    <w:p w:rsidR="00E61373" w:rsidRPr="00B2230B" w:rsidRDefault="00E61373">
      <w:pPr>
        <w:jc w:val="both"/>
        <w:rPr>
          <w:rFonts w:eastAsia="Arial"/>
          <w:b/>
          <w:sz w:val="22"/>
          <w:szCs w:val="22"/>
          <w:highlight w:val="white"/>
          <w:lang w:val="ru-RU"/>
        </w:rPr>
      </w:pPr>
    </w:p>
    <w:p w:rsidR="00E61373" w:rsidRDefault="0093584E">
      <w:pPr>
        <w:numPr>
          <w:ilvl w:val="0"/>
          <w:numId w:val="4"/>
        </w:numPr>
        <w:ind w:left="0" w:firstLine="567"/>
        <w:jc w:val="both"/>
        <w:rPr>
          <w:rFonts w:eastAsia="Arial"/>
          <w:b/>
          <w:sz w:val="22"/>
          <w:szCs w:val="22"/>
          <w:highlight w:val="white"/>
        </w:rPr>
      </w:pPr>
      <w:proofErr w:type="spellStart"/>
      <w:r>
        <w:rPr>
          <w:rFonts w:eastAsia="Arial"/>
          <w:b/>
          <w:sz w:val="22"/>
          <w:szCs w:val="22"/>
          <w:highlight w:val="white"/>
          <w:lang w:eastAsia="ru-RU"/>
        </w:rPr>
        <w:t>Термины</w:t>
      </w:r>
      <w:proofErr w:type="spellEnd"/>
      <w:r>
        <w:rPr>
          <w:rFonts w:eastAsia="Arial"/>
          <w:b/>
          <w:sz w:val="22"/>
          <w:szCs w:val="22"/>
          <w:highlight w:val="white"/>
          <w:lang w:eastAsia="ru-RU"/>
        </w:rPr>
        <w:t xml:space="preserve"> и </w:t>
      </w:r>
      <w:proofErr w:type="spellStart"/>
      <w:r>
        <w:rPr>
          <w:rFonts w:eastAsia="Arial"/>
          <w:b/>
          <w:sz w:val="22"/>
          <w:szCs w:val="22"/>
          <w:highlight w:val="white"/>
          <w:lang w:eastAsia="ru-RU"/>
        </w:rPr>
        <w:t>определения</w:t>
      </w:r>
      <w:proofErr w:type="spellEnd"/>
    </w:p>
    <w:p w:rsidR="00E61373" w:rsidRPr="00B2230B" w:rsidRDefault="0093584E">
      <w:pPr>
        <w:ind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Для целей настоящих Правил термины и определения применяются в значениях, установленных Правилами программы лояльности АО «НСПК», размещенными на официальном сайте АО «НСПК» в информационно-телекоммуникационной сети Интернет (</w:t>
      </w:r>
      <w:hyperlink r:id="rId12" w:tooltip="https://vamprivet.ru/" w:history="1"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https</w:t>
        </w:r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://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vamprivet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.</w:t>
        </w:r>
        <w:proofErr w:type="spellStart"/>
        <w:r>
          <w:rPr>
            <w:rStyle w:val="af2"/>
            <w:rFonts w:eastAsia="Arial"/>
            <w:sz w:val="22"/>
            <w:szCs w:val="22"/>
            <w:highlight w:val="white"/>
            <w:lang w:eastAsia="ru-RU"/>
          </w:rPr>
          <w:t>ru</w:t>
        </w:r>
        <w:proofErr w:type="spellEnd"/>
        <w:r>
          <w:rPr>
            <w:rStyle w:val="af2"/>
            <w:rFonts w:eastAsia="Arial"/>
            <w:sz w:val="22"/>
            <w:szCs w:val="22"/>
            <w:highlight w:val="white"/>
            <w:lang w:val="ru-RU" w:eastAsia="ru-RU"/>
          </w:rPr>
          <w:t>/</w:t>
        </w:r>
      </w:hyperlink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).</w:t>
      </w:r>
    </w:p>
    <w:p w:rsidR="00E61373" w:rsidRPr="00B2230B" w:rsidRDefault="0093584E">
      <w:pPr>
        <w:pStyle w:val="Iauiue"/>
        <w:ind w:firstLine="567"/>
        <w:jc w:val="both"/>
        <w:rPr>
          <w:sz w:val="22"/>
          <w:szCs w:val="22"/>
          <w:highlight w:val="white"/>
          <w:lang w:val="ru-RU"/>
        </w:rPr>
      </w:pPr>
      <w:r>
        <w:rPr>
          <w:sz w:val="22"/>
          <w:szCs w:val="22"/>
          <w:highlight w:val="white"/>
          <w:lang w:val="ru-RU"/>
        </w:rPr>
        <w:t>В настоящих Правилах следующие термины будут иметь нижеуказанные значения</w:t>
      </w:r>
      <w:r>
        <w:rPr>
          <w:rFonts w:eastAsia="Arial"/>
          <w:i/>
          <w:color w:val="0070C0"/>
          <w:sz w:val="22"/>
          <w:szCs w:val="22"/>
          <w:highlight w:val="white"/>
          <w:lang w:val="ru-RU"/>
        </w:rPr>
        <w:t>:</w:t>
      </w:r>
    </w:p>
    <w:p w:rsidR="00E61373" w:rsidRPr="00B2230B" w:rsidRDefault="0093584E">
      <w:pPr>
        <w:pStyle w:val="Iauiue"/>
        <w:ind w:firstLine="567"/>
        <w:jc w:val="both"/>
        <w:rPr>
          <w:rFonts w:eastAsia="Arial"/>
          <w:sz w:val="22"/>
          <w:szCs w:val="22"/>
          <w:highlight w:val="white"/>
          <w:lang w:val="ru-RU"/>
        </w:rPr>
      </w:pPr>
      <w:r>
        <w:rPr>
          <w:b/>
          <w:bCs/>
          <w:sz w:val="22"/>
          <w:szCs w:val="22"/>
          <w:highlight w:val="white"/>
          <w:lang w:val="ru-RU"/>
        </w:rPr>
        <w:t>Электроэнергия</w:t>
      </w:r>
      <w:r>
        <w:rPr>
          <w:sz w:val="22"/>
          <w:szCs w:val="22"/>
          <w:highlight w:val="white"/>
          <w:lang w:val="ru-RU"/>
        </w:rPr>
        <w:t xml:space="preserve"> – электроэнергия, потребленная на коммунально-бытовые нужды гражданами-потребителями АО «НЭСК»</w:t>
      </w:r>
    </w:p>
    <w:p w:rsidR="00E61373" w:rsidRPr="00B2230B" w:rsidRDefault="00E61373">
      <w:pPr>
        <w:ind w:firstLine="567"/>
        <w:jc w:val="both"/>
        <w:rPr>
          <w:rFonts w:eastAsia="Arial"/>
          <w:i/>
          <w:color w:val="0070C0"/>
          <w:sz w:val="22"/>
          <w:szCs w:val="22"/>
          <w:highlight w:val="white"/>
          <w:lang w:val="ru-RU"/>
        </w:rPr>
      </w:pPr>
    </w:p>
    <w:p w:rsidR="00E61373" w:rsidRDefault="0093584E">
      <w:pPr>
        <w:pStyle w:val="af6"/>
        <w:numPr>
          <w:ilvl w:val="0"/>
          <w:numId w:val="4"/>
        </w:numPr>
        <w:jc w:val="both"/>
        <w:rPr>
          <w:rFonts w:eastAsia="Arial"/>
          <w:b/>
          <w:color w:val="000000"/>
          <w:sz w:val="22"/>
          <w:szCs w:val="22"/>
          <w:highlight w:val="white"/>
        </w:rPr>
      </w:pPr>
      <w:r>
        <w:rPr>
          <w:rFonts w:eastAsia="Arial"/>
          <w:b/>
          <w:color w:val="000000"/>
          <w:sz w:val="22"/>
          <w:szCs w:val="22"/>
          <w:highlight w:val="white"/>
          <w:lang w:val="ru-RU" w:eastAsia="ru-RU"/>
        </w:rPr>
        <w:t xml:space="preserve">Территория </w:t>
      </w:r>
      <w:r>
        <w:rPr>
          <w:rFonts w:eastAsia="Arial"/>
          <w:b/>
          <w:color w:val="000000"/>
          <w:sz w:val="22"/>
          <w:szCs w:val="22"/>
          <w:highlight w:val="white"/>
          <w:lang w:val="ru-RU" w:eastAsia="ru-RU"/>
        </w:rPr>
        <w:t xml:space="preserve">проведения Акции </w:t>
      </w:r>
    </w:p>
    <w:p w:rsidR="00E61373" w:rsidRPr="00B2230B" w:rsidRDefault="0093584E">
      <w:pPr>
        <w:ind w:left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Города Краснодарского края, зона деятельности гарантирующего поставщика АО «НЭСК», с учетом возможности оплаты услуг в соответствии с условиями настоящей Акции на территории всей Российской Федерации.  </w:t>
      </w:r>
    </w:p>
    <w:p w:rsidR="00E61373" w:rsidRPr="00B2230B" w:rsidRDefault="00E61373">
      <w:pPr>
        <w:ind w:left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</w:p>
    <w:p w:rsidR="00E61373" w:rsidRDefault="0093584E">
      <w:pPr>
        <w:pStyle w:val="af6"/>
        <w:numPr>
          <w:ilvl w:val="0"/>
          <w:numId w:val="4"/>
        </w:numPr>
        <w:ind w:right="1"/>
        <w:jc w:val="both"/>
        <w:rPr>
          <w:rFonts w:eastAsia="Arial"/>
          <w:b/>
          <w:color w:val="000000"/>
          <w:sz w:val="22"/>
          <w:szCs w:val="22"/>
          <w:highlight w:val="white"/>
        </w:rPr>
      </w:pPr>
      <w:r>
        <w:rPr>
          <w:rFonts w:eastAsia="Arial"/>
          <w:b/>
          <w:color w:val="000000"/>
          <w:sz w:val="22"/>
          <w:szCs w:val="22"/>
          <w:highlight w:val="white"/>
          <w:lang w:val="ru-RU" w:eastAsia="ru-RU"/>
        </w:rPr>
        <w:t>Сроки проведения Акции</w:t>
      </w:r>
    </w:p>
    <w:p w:rsidR="00E61373" w:rsidRPr="00B2230B" w:rsidRDefault="0093584E">
      <w:pPr>
        <w:ind w:left="567" w:right="1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Акция прово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дится с 00 часов 00 минут 00 секунд по московскому времени 15.07.2025 до 23 часов 59 минут 59 секунд по московскому времени 31.12.2025. </w:t>
      </w:r>
    </w:p>
    <w:p w:rsidR="00E61373" w:rsidRPr="00B2230B" w:rsidRDefault="00E61373">
      <w:pPr>
        <w:ind w:left="567" w:right="1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</w:p>
    <w:p w:rsidR="00E61373" w:rsidRDefault="0093584E">
      <w:pPr>
        <w:numPr>
          <w:ilvl w:val="0"/>
          <w:numId w:val="4"/>
        </w:numPr>
        <w:ind w:left="0" w:right="1" w:firstLine="567"/>
        <w:jc w:val="both"/>
        <w:rPr>
          <w:rFonts w:eastAsia="Arial"/>
          <w:b/>
          <w:color w:val="000000"/>
          <w:sz w:val="22"/>
          <w:szCs w:val="22"/>
          <w:highlight w:val="white"/>
        </w:rPr>
      </w:pPr>
      <w:proofErr w:type="spellStart"/>
      <w:r>
        <w:rPr>
          <w:rFonts w:eastAsia="Arial"/>
          <w:b/>
          <w:color w:val="000000"/>
          <w:sz w:val="22"/>
          <w:szCs w:val="22"/>
          <w:highlight w:val="white"/>
          <w:lang w:eastAsia="ru-RU"/>
        </w:rPr>
        <w:t>Условия</w:t>
      </w:r>
      <w:proofErr w:type="spellEnd"/>
      <w:r>
        <w:rPr>
          <w:rFonts w:eastAsia="Arial"/>
          <w:b/>
          <w:color w:val="000000"/>
          <w:sz w:val="22"/>
          <w:szCs w:val="22"/>
          <w:highlight w:val="white"/>
          <w:lang w:eastAsia="ru-RU"/>
        </w:rPr>
        <w:t xml:space="preserve"> </w:t>
      </w:r>
      <w:proofErr w:type="spellStart"/>
      <w:r>
        <w:rPr>
          <w:rFonts w:eastAsia="Arial"/>
          <w:b/>
          <w:color w:val="000000"/>
          <w:sz w:val="22"/>
          <w:szCs w:val="22"/>
          <w:highlight w:val="white"/>
          <w:lang w:eastAsia="ru-RU"/>
        </w:rPr>
        <w:t>Акции</w:t>
      </w:r>
      <w:proofErr w:type="spellEnd"/>
      <w:r>
        <w:rPr>
          <w:rFonts w:eastAsia="Arial"/>
          <w:b/>
          <w:color w:val="000000"/>
          <w:sz w:val="22"/>
          <w:szCs w:val="22"/>
          <w:highlight w:val="white"/>
          <w:lang w:eastAsia="ru-RU"/>
        </w:rPr>
        <w:t xml:space="preserve"> </w:t>
      </w:r>
    </w:p>
    <w:p w:rsidR="00E61373" w:rsidRPr="00B2230B" w:rsidRDefault="0093584E">
      <w:pPr>
        <w:ind w:firstLine="567"/>
        <w:jc w:val="both"/>
        <w:rPr>
          <w:rFonts w:eastAsiaTheme="minorEastAsia"/>
          <w:color w:val="365F91" w:themeColor="accent1" w:themeShade="BF"/>
          <w:sz w:val="22"/>
          <w:szCs w:val="22"/>
          <w:highlight w:val="white"/>
          <w:lang w:val="ru-RU"/>
        </w:rPr>
      </w:pP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5.1. При оплате электроэнергии с использованием Системы быстрых платежей (СБП) в мобильном приложении 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НЭСК, на сайте (</w:t>
      </w:r>
      <w:hyperlink r:id="rId13" w:tooltip="https://www.nesk.ru/" w:history="1">
        <w:r>
          <w:rPr>
            <w:rStyle w:val="af2"/>
            <w:rFonts w:eastAsiaTheme="minorEastAsia"/>
            <w:sz w:val="22"/>
            <w:szCs w:val="22"/>
            <w:highlight w:val="white"/>
            <w:lang w:eastAsia="ru-RU"/>
          </w:rPr>
          <w:t>https</w:t>
        </w:r>
        <w:r>
          <w:rPr>
            <w:rStyle w:val="af2"/>
            <w:rFonts w:eastAsiaTheme="minorEastAsia"/>
            <w:sz w:val="22"/>
            <w:szCs w:val="22"/>
            <w:highlight w:val="white"/>
            <w:lang w:val="ru-RU" w:eastAsia="ru-RU"/>
          </w:rPr>
          <w:t>://</w:t>
        </w:r>
        <w:r>
          <w:rPr>
            <w:rStyle w:val="af2"/>
            <w:rFonts w:eastAsiaTheme="minorEastAsia"/>
            <w:sz w:val="22"/>
            <w:szCs w:val="22"/>
            <w:highlight w:val="white"/>
            <w:lang w:eastAsia="ru-RU"/>
          </w:rPr>
          <w:t>www</w:t>
        </w:r>
        <w:r>
          <w:rPr>
            <w:rStyle w:val="af2"/>
            <w:rFonts w:eastAsiaTheme="minorEastAsia"/>
            <w:sz w:val="22"/>
            <w:szCs w:val="22"/>
            <w:highlight w:val="white"/>
            <w:lang w:val="ru-RU" w:eastAsia="ru-RU"/>
          </w:rPr>
          <w:t>.</w:t>
        </w:r>
        <w:r>
          <w:rPr>
            <w:rStyle w:val="af2"/>
            <w:rFonts w:eastAsiaTheme="minorEastAsia"/>
            <w:sz w:val="22"/>
            <w:szCs w:val="22"/>
            <w:highlight w:val="white"/>
            <w:lang w:eastAsia="ru-RU"/>
          </w:rPr>
          <w:t>nesk</w:t>
        </w:r>
        <w:r>
          <w:rPr>
            <w:rStyle w:val="af2"/>
            <w:rFonts w:eastAsiaTheme="minorEastAsia"/>
            <w:sz w:val="22"/>
            <w:szCs w:val="22"/>
            <w:highlight w:val="white"/>
            <w:lang w:val="ru-RU" w:eastAsia="ru-RU"/>
          </w:rPr>
          <w:t>.</w:t>
        </w:r>
        <w:r>
          <w:rPr>
            <w:rStyle w:val="af2"/>
            <w:rFonts w:eastAsiaTheme="minorEastAsia"/>
            <w:sz w:val="22"/>
            <w:szCs w:val="22"/>
            <w:highlight w:val="white"/>
            <w:lang w:eastAsia="ru-RU"/>
          </w:rPr>
          <w:t>ru</w:t>
        </w:r>
        <w:r>
          <w:rPr>
            <w:rStyle w:val="af2"/>
            <w:rFonts w:eastAsiaTheme="minorEastAsia"/>
            <w:sz w:val="22"/>
            <w:szCs w:val="22"/>
            <w:highlight w:val="white"/>
            <w:lang w:val="ru-RU" w:eastAsia="ru-RU"/>
          </w:rPr>
          <w:t>/</w:t>
        </w:r>
      </w:hyperlink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) и в  клиентских офисах                           АО «НЭСК» (адреса которых находятся на сайте (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https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://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www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.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nesk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.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ru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/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kontakty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-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kompanii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-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ao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-</w:t>
      </w:r>
      <w:r>
        <w:rPr>
          <w:rFonts w:eastAsiaTheme="minorEastAsia"/>
          <w:color w:val="000000"/>
          <w:sz w:val="22"/>
          <w:szCs w:val="22"/>
          <w:highlight w:val="white"/>
          <w:lang w:eastAsia="ru-RU"/>
        </w:rPr>
        <w:t>nesk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/) </w:t>
      </w:r>
      <w:proofErr w:type="spellStart"/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Кешбэк</w:t>
      </w:r>
      <w:proofErr w:type="spellEnd"/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 соста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вляет 3% (Три процента) от любой суммы операции оплаты услуг. Максимальная сумма </w:t>
      </w:r>
      <w:proofErr w:type="spellStart"/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, начисляемая и выплачиваемая на Клиента и по номеру мобильного телефона за весь Срок проведения Акции, указанного в п.4 настоящих Правил не ограничен.</w:t>
      </w:r>
    </w:p>
    <w:p w:rsidR="00E61373" w:rsidRPr="00B2230B" w:rsidRDefault="0093584E">
      <w:pPr>
        <w:ind w:firstLine="567"/>
        <w:jc w:val="both"/>
        <w:rPr>
          <w:rFonts w:eastAsiaTheme="minorEastAsia"/>
          <w:color w:val="000000"/>
          <w:sz w:val="22"/>
          <w:szCs w:val="22"/>
          <w:highlight w:val="white"/>
          <w:lang w:val="ru-RU"/>
        </w:rPr>
      </w:pP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5.2. </w:t>
      </w:r>
      <w:proofErr w:type="spellStart"/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Кешбэк</w:t>
      </w:r>
      <w:proofErr w:type="spellEnd"/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 начи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сляется Клиенту при выполнении Клиентом последовательно совокупности следующих условий: </w:t>
      </w:r>
    </w:p>
    <w:p w:rsidR="00E61373" w:rsidRPr="00B2230B" w:rsidRDefault="0093584E">
      <w:pPr>
        <w:ind w:firstLine="567"/>
        <w:jc w:val="both"/>
        <w:rPr>
          <w:rFonts w:eastAsiaTheme="minorEastAsia"/>
          <w:color w:val="000000"/>
          <w:sz w:val="22"/>
          <w:szCs w:val="22"/>
          <w:highlight w:val="white"/>
          <w:lang w:val="ru-RU"/>
        </w:rPr>
      </w:pP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5.2.1. Регистрации Клиента в Программе лояльности АО «НСПК» до совершения Клиентом операции оплаты. Номер мобильного телефона, используемый Клиентом для присоединения 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к Правилам Программы лояльности АО «НСПК» (регистрации в Программе лояльности                         АО «НСПК»), должен соответствовать номеру мобильного телефона, предоставленного Клиентом Банку-участнику СБП в целях совершения оплаты с использованием СБ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П.</w:t>
      </w:r>
    </w:p>
    <w:p w:rsidR="00E61373" w:rsidRPr="00B2230B" w:rsidRDefault="0093584E">
      <w:pPr>
        <w:ind w:firstLine="567"/>
        <w:jc w:val="both"/>
        <w:rPr>
          <w:rFonts w:eastAsiaTheme="minorEastAsia"/>
          <w:color w:val="000000"/>
          <w:sz w:val="22"/>
          <w:szCs w:val="22"/>
          <w:highlight w:val="white"/>
          <w:lang w:val="ru-RU"/>
        </w:rPr>
      </w:pP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>5.2.2. Совершения Клиентом в течение срока проведения Акции, указанного в п. 4 настоящих Правил, операций по оплате услуг с использованием Системы быстрых платежей (СБП) Клиентом, зарегистрированным в Программе лояльности АО «НСПК», с учетом пунктов 5.1</w:t>
      </w:r>
      <w:r>
        <w:rPr>
          <w:rFonts w:eastAsiaTheme="minorEastAsia"/>
          <w:color w:val="000000"/>
          <w:sz w:val="22"/>
          <w:szCs w:val="22"/>
          <w:highlight w:val="white"/>
          <w:lang w:val="ru-RU" w:eastAsia="ru-RU"/>
        </w:rPr>
        <w:t xml:space="preserve"> настоящих Правил. </w:t>
      </w:r>
    </w:p>
    <w:p w:rsidR="00E61373" w:rsidRPr="00B2230B" w:rsidRDefault="0093584E">
      <w:pPr>
        <w:pStyle w:val="af6"/>
        <w:ind w:left="0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5.3.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начисляется Организатором Акции (Оператором) и выплачивается в порядке, установленном Правилами программы лояльности АО «НСПК».</w:t>
      </w:r>
    </w:p>
    <w:p w:rsidR="00E61373" w:rsidRPr="00B2230B" w:rsidRDefault="0093584E">
      <w:pPr>
        <w:pStyle w:val="af6"/>
        <w:ind w:left="0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5.4. Премиальный фонд Акции формируется за счет средств Организатора Акции (Оператора) исключительно для целей выплаты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и является ограниченным. Выплата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осуществляется до исчерпания премиального фонда Акции.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5.5. При возврате стоимости оплат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ы услуг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не подлежит выплате, а выплаченный по таким случаям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подлежит возврату Организатору Акции (Оператору) в соответствии с условиями Правил Программы лояльности АО «НСПК».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При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возврате части стоимости оплаты услуг выплаченная сумма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подлежит возврату Организатору Акции (Оператору) по той части стоимости оплаты услуг, возврат которой был осуществлен Клиентом.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Возврат (частичный возврат) Клиенту стоимости оплаты услуг или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части стоимости оплаты услуг осуществляется с использованием тех средств платежа, которыми была произведена оплата стоимости услуг. 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5.6. В случае спора в отношении выплаты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Клиенту необходимо подать Организатору Акции жалобу (претензию) в порядке,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предусмотренном Правилами программы лояльности             АО «НСПК». 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В целях рассмотрения жалобы (претензии) Организатор Акции (Оператор) имеет право запрашивать у Клиента сведения и документы, необходимые для урегулирования жалобы (претензии) Клиента, 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в том числе кассовый чек, гарантийный талон и (или) иные документы. </w:t>
      </w:r>
    </w:p>
    <w:p w:rsidR="00E61373" w:rsidRPr="00B2230B" w:rsidRDefault="0093584E">
      <w:pPr>
        <w:ind w:right="1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В целях рассмотрения жалобы (претензии) Организатор Акции (Оператор) также имеет право запрашивать у третьих лиц сведения и документы, необходимые для урегулирования жалобы (претензии) Кл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иента.</w:t>
      </w:r>
    </w:p>
    <w:p w:rsidR="00E61373" w:rsidRPr="00B2230B" w:rsidRDefault="0093584E">
      <w:pPr>
        <w:pStyle w:val="af6"/>
        <w:ind w:left="0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lastRenderedPageBreak/>
        <w:t xml:space="preserve">5.7. Для начисления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в рамках Акции Клиент должен самостоятельно обеспечить наличие разрешения на зачисление денежных средств (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) посредством СБП на банковский счет Клиента. </w:t>
      </w:r>
    </w:p>
    <w:p w:rsidR="00E61373" w:rsidRPr="00B2230B" w:rsidRDefault="0093584E">
      <w:pPr>
        <w:pStyle w:val="af6"/>
        <w:ind w:left="0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Оператор не несет ответственность за невозможность осуществле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ния выплаты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Клиенту в связи с отсутствием в Банке-участнике СБП разрешения Клиента на зачисление денежных средств (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) посредством СБП на банковский счет Клиента.</w:t>
      </w:r>
    </w:p>
    <w:p w:rsidR="00E61373" w:rsidRPr="00B2230B" w:rsidRDefault="0093584E">
      <w:pPr>
        <w:pStyle w:val="af6"/>
        <w:ind w:left="0" w:firstLine="567"/>
        <w:jc w:val="both"/>
        <w:rPr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Клиенту необходимо самостоятельно получить информацию о способах обеспечения ра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зрешения на зачисление денежных средств (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) посредством СБП на банковский счет Клиента в соответствующем Банке-участнике СБП. В случае отсутствия такого разрешения, смены номера мобильного телефона и (или) закрытия банковского счета, с которого произ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водилась оплата посредством СБП, а также при возникновении иных обстоятельств, не зависящих от Организатора, которые делают невозможным перечисление денежных средств (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) посредством СБП на банковский счет Клиента, Организатор не несет ответственности</w:t>
      </w: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за перечисление денежных средств (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Кешбэка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).</w:t>
      </w:r>
    </w:p>
    <w:p w:rsidR="00E61373" w:rsidRPr="00B2230B" w:rsidRDefault="0093584E">
      <w:pPr>
        <w:pStyle w:val="af6"/>
        <w:ind w:left="0" w:firstLine="567"/>
        <w:jc w:val="both"/>
        <w:rPr>
          <w:rFonts w:eastAsia="Arial"/>
          <w:color w:val="000000"/>
          <w:sz w:val="22"/>
          <w:szCs w:val="22"/>
          <w:highlight w:val="white"/>
          <w:lang w:val="ru-RU"/>
        </w:rPr>
      </w:pPr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5.8. По операциям оплаты, совершенным с использованием электронных денежных средств (электронных кошельков), </w:t>
      </w:r>
      <w:proofErr w:type="spellStart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>Кешбэк</w:t>
      </w:r>
      <w:proofErr w:type="spellEnd"/>
      <w:r>
        <w:rPr>
          <w:rFonts w:eastAsia="Arial"/>
          <w:color w:val="000000"/>
          <w:sz w:val="22"/>
          <w:szCs w:val="22"/>
          <w:highlight w:val="white"/>
          <w:lang w:val="ru-RU" w:eastAsia="ru-RU"/>
        </w:rPr>
        <w:t xml:space="preserve"> не начисляется и не выплачивается.</w:t>
      </w:r>
    </w:p>
    <w:p w:rsidR="00E61373" w:rsidRDefault="00E61373">
      <w:pPr>
        <w:pStyle w:val="af6"/>
        <w:ind w:left="0" w:firstLine="567"/>
        <w:jc w:val="both"/>
        <w:rPr>
          <w:rFonts w:eastAsia="Arial"/>
          <w:i/>
          <w:color w:val="365F91" w:themeColor="accent1" w:themeShade="BF"/>
          <w:sz w:val="22"/>
          <w:szCs w:val="22"/>
          <w:lang w:val="ru-RU" w:eastAsia="ru-RU"/>
        </w:rPr>
      </w:pPr>
    </w:p>
    <w:p w:rsidR="00E61373" w:rsidRDefault="00E61373">
      <w:pPr>
        <w:jc w:val="both"/>
        <w:rPr>
          <w:sz w:val="22"/>
          <w:szCs w:val="22"/>
          <w:lang w:val="ru-RU"/>
        </w:rPr>
      </w:pPr>
    </w:p>
    <w:sectPr w:rsidR="00E61373">
      <w:footerReference w:type="default" r:id="rId14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4E" w:rsidRDefault="0093584E">
      <w:r>
        <w:separator/>
      </w:r>
    </w:p>
  </w:endnote>
  <w:endnote w:type="continuationSeparator" w:id="0">
    <w:p w:rsidR="0093584E" w:rsidRDefault="0093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73" w:rsidRDefault="0093584E">
    <w:pPr>
      <w:pStyle w:val="Ieieeeieiioeooe"/>
      <w:jc w:val="center"/>
    </w:pPr>
    <w:r>
      <w:fldChar w:fldCharType="begin"/>
    </w:r>
    <w:r>
      <w:instrText>PAGE</w:instrText>
    </w:r>
    <w:r>
      <w:fldChar w:fldCharType="separate"/>
    </w:r>
    <w:r w:rsidR="00B223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4E" w:rsidRDefault="0093584E">
      <w:r>
        <w:separator/>
      </w:r>
    </w:p>
  </w:footnote>
  <w:footnote w:type="continuationSeparator" w:id="0">
    <w:p w:rsidR="0093584E" w:rsidRDefault="0093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648D"/>
    <w:multiLevelType w:val="multilevel"/>
    <w:tmpl w:val="10526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9D14A6"/>
    <w:multiLevelType w:val="multilevel"/>
    <w:tmpl w:val="D102D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96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7BD56AC7"/>
    <w:multiLevelType w:val="multilevel"/>
    <w:tmpl w:val="6330B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D5B4E15"/>
    <w:multiLevelType w:val="hybridMultilevel"/>
    <w:tmpl w:val="89FC2066"/>
    <w:lvl w:ilvl="0" w:tplc="468AA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54CEF1DA">
      <w:start w:val="1"/>
      <w:numFmt w:val="lowerLetter"/>
      <w:lvlText w:val="%2."/>
      <w:lvlJc w:val="left"/>
      <w:pPr>
        <w:ind w:left="1647" w:hanging="360"/>
      </w:pPr>
    </w:lvl>
    <w:lvl w:ilvl="2" w:tplc="EB4208D8">
      <w:start w:val="1"/>
      <w:numFmt w:val="lowerRoman"/>
      <w:lvlText w:val="%3."/>
      <w:lvlJc w:val="right"/>
      <w:pPr>
        <w:ind w:left="2367" w:hanging="180"/>
      </w:pPr>
    </w:lvl>
    <w:lvl w:ilvl="3" w:tplc="BC8AAF72">
      <w:start w:val="1"/>
      <w:numFmt w:val="decimal"/>
      <w:lvlText w:val="%4."/>
      <w:lvlJc w:val="left"/>
      <w:pPr>
        <w:ind w:left="3087" w:hanging="360"/>
      </w:pPr>
    </w:lvl>
    <w:lvl w:ilvl="4" w:tplc="2F2E6A88">
      <w:start w:val="1"/>
      <w:numFmt w:val="lowerLetter"/>
      <w:lvlText w:val="%5."/>
      <w:lvlJc w:val="left"/>
      <w:pPr>
        <w:ind w:left="3807" w:hanging="360"/>
      </w:pPr>
    </w:lvl>
    <w:lvl w:ilvl="5" w:tplc="5A5AA580">
      <w:start w:val="1"/>
      <w:numFmt w:val="lowerRoman"/>
      <w:lvlText w:val="%6."/>
      <w:lvlJc w:val="right"/>
      <w:pPr>
        <w:ind w:left="4527" w:hanging="180"/>
      </w:pPr>
    </w:lvl>
    <w:lvl w:ilvl="6" w:tplc="D3E20460">
      <w:start w:val="1"/>
      <w:numFmt w:val="decimal"/>
      <w:lvlText w:val="%7."/>
      <w:lvlJc w:val="left"/>
      <w:pPr>
        <w:ind w:left="5247" w:hanging="360"/>
      </w:pPr>
    </w:lvl>
    <w:lvl w:ilvl="7" w:tplc="580AF104">
      <w:start w:val="1"/>
      <w:numFmt w:val="lowerLetter"/>
      <w:lvlText w:val="%8."/>
      <w:lvlJc w:val="left"/>
      <w:pPr>
        <w:ind w:left="5967" w:hanging="360"/>
      </w:pPr>
    </w:lvl>
    <w:lvl w:ilvl="8" w:tplc="CE924C5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73"/>
    <w:rsid w:val="0093584E"/>
    <w:rsid w:val="00B2230B"/>
    <w:rsid w:val="00E6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631B"/>
  <w15:docId w15:val="{F98E279C-96E2-4563-8266-9C38458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азвание объекта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ae">
    <w:name w:val="Body Text"/>
    <w:basedOn w:val="a"/>
    <w:link w:val="af"/>
    <w:pPr>
      <w:widowControl w:val="0"/>
      <w:jc w:val="both"/>
    </w:pPr>
    <w:rPr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  <w:bCs/>
      <w:lang w:val="ru-RU" w:eastAsia="ru-RU"/>
    </w:rPr>
  </w:style>
  <w:style w:type="character" w:customStyle="1" w:styleId="af1">
    <w:name w:val="Заголовок Знак"/>
    <w:basedOn w:val="a0"/>
    <w:link w:val="af0"/>
    <w:uiPriority w:val="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pPr>
      <w:ind w:right="-5" w:firstLine="709"/>
      <w:jc w:val="both"/>
    </w:pPr>
    <w:rPr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0">
    <w:name w:val="Style0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eieeeieiioeooe">
    <w:name w:val="Ie?iee eieiioeooe"/>
    <w:basedOn w:val="Iauiue"/>
    <w:pPr>
      <w:tabs>
        <w:tab w:val="center" w:pos="4320"/>
        <w:tab w:val="right" w:pos="8640"/>
      </w:tabs>
    </w:p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</w:style>
  <w:style w:type="character" w:customStyle="1" w:styleId="ms-tablecell">
    <w:name w:val="ms-tablecell"/>
    <w:basedOn w:val="a0"/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Абзац списка Знак"/>
    <w:link w:val="af6"/>
    <w:uiPriority w:val="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d">
    <w:name w:val="header"/>
    <w:basedOn w:val="a"/>
    <w:link w:val="afe"/>
    <w:uiPriority w:val="99"/>
    <w:unhideWhenUsed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8"/>
      <w:lang w:bidi="th-TH"/>
    </w:rPr>
  </w:style>
  <w:style w:type="character" w:customStyle="1" w:styleId="afe">
    <w:name w:val="Верхний колонтитул Знак"/>
    <w:basedOn w:val="a0"/>
    <w:link w:val="afd"/>
    <w:uiPriority w:val="99"/>
    <w:rPr>
      <w:rFonts w:eastAsiaTheme="minorEastAsia"/>
      <w:szCs w:val="28"/>
      <w:lang w:val="en-US" w:bidi="th-TH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0">
    <w:name w:val="Пункт Знак"/>
    <w:rPr>
      <w:sz w:val="28"/>
      <w:lang w:val="ru-RU" w:eastAsia="ru-RU" w:bidi="ar-SA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link w:val="1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shd w:val="clear" w:color="auto" w:fill="FFFFFF"/>
      <w:spacing w:line="0" w:lineRule="atLeast"/>
    </w:pPr>
    <w:rPr>
      <w:rFonts w:ascii="Batang" w:eastAsia="Batang" w:hAnsi="Batang" w:cs="Batang"/>
      <w:sz w:val="17"/>
      <w:szCs w:val="17"/>
      <w:lang w:val="ru-RU"/>
    </w:rPr>
  </w:style>
  <w:style w:type="paragraph" w:customStyle="1" w:styleId="Style10">
    <w:name w:val="Style10"/>
    <w:basedOn w:val="a"/>
    <w:pPr>
      <w:widowControl w:val="0"/>
    </w:pPr>
    <w:rPr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lang w:val="ru-RU" w:eastAsia="ru-RU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customStyle="1" w:styleId="14">
    <w:name w:val="Обычный1"/>
    <w:pPr>
      <w:spacing w:after="0"/>
    </w:pPr>
    <w:rPr>
      <w:rFonts w:ascii="Arial" w:eastAsia="Arial" w:hAnsi="Arial" w:cs="Arial"/>
      <w:lang w:eastAsia="ru-RU"/>
    </w:rPr>
  </w:style>
  <w:style w:type="character" w:styleId="aff5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xl353">
    <w:name w:val="xl3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354">
    <w:name w:val="xl3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355">
    <w:name w:val="xl3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56">
    <w:name w:val="xl3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57">
    <w:name w:val="xl3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358">
    <w:name w:val="xl3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59">
    <w:name w:val="xl3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60">
    <w:name w:val="xl3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61">
    <w:name w:val="xl36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62">
    <w:name w:val="xl3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63">
    <w:name w:val="xl3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364">
    <w:name w:val="xl3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365">
    <w:name w:val="xl365"/>
    <w:basedOn w:val="a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366">
    <w:name w:val="xl366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xl367">
    <w:name w:val="xl3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68">
    <w:name w:val="xl3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369">
    <w:name w:val="xl3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70">
    <w:name w:val="xl3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71">
    <w:name w:val="xl3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372">
    <w:name w:val="xl3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styleId="aff6">
    <w:name w:val="footnote text"/>
    <w:basedOn w:val="a"/>
    <w:link w:val="aff7"/>
    <w:uiPriority w:val="99"/>
    <w:semiHidden/>
    <w:rPr>
      <w:rFonts w:eastAsia="Calibri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ru-RU" w:eastAsia="ru-RU"/>
    </w:rPr>
  </w:style>
  <w:style w:type="paragraph" w:customStyle="1" w:styleId="xl373">
    <w:name w:val="xl3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customStyle="1" w:styleId="xl374">
    <w:name w:val="xl3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375">
    <w:name w:val="xl3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76">
    <w:name w:val="xl3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0"/>
      <w:szCs w:val="20"/>
      <w:lang w:val="ru-RU" w:eastAsia="ru-RU"/>
    </w:rPr>
  </w:style>
  <w:style w:type="paragraph" w:customStyle="1" w:styleId="xl377">
    <w:name w:val="xl3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  <w:lang w:val="ru-RU" w:eastAsia="ru-RU"/>
    </w:rPr>
  </w:style>
  <w:style w:type="paragraph" w:customStyle="1" w:styleId="xl378">
    <w:name w:val="xl3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0"/>
      <w:szCs w:val="20"/>
      <w:lang w:val="ru-RU" w:eastAsia="ru-RU"/>
    </w:rPr>
  </w:style>
  <w:style w:type="paragraph" w:customStyle="1" w:styleId="xl379">
    <w:name w:val="xl3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380">
    <w:name w:val="xl3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customStyle="1" w:styleId="xl381">
    <w:name w:val="xl3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82">
    <w:name w:val="xl3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83">
    <w:name w:val="xl3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84">
    <w:name w:val="xl3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385">
    <w:name w:val="xl3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386">
    <w:name w:val="xl3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387">
    <w:name w:val="xl3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388">
    <w:name w:val="xl3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389">
    <w:name w:val="xl3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390">
    <w:name w:val="xl3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391">
    <w:name w:val="xl3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92">
    <w:name w:val="xl3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93">
    <w:name w:val="xl39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394">
    <w:name w:val="xl39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95">
    <w:name w:val="xl395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96">
    <w:name w:val="xl3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97">
    <w:name w:val="xl3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  <w:lang w:val="ru-RU" w:eastAsia="ru-RU"/>
    </w:rPr>
  </w:style>
  <w:style w:type="paragraph" w:customStyle="1" w:styleId="xl398">
    <w:name w:val="xl3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399">
    <w:name w:val="xl3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400">
    <w:name w:val="xl4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401">
    <w:name w:val="xl4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402">
    <w:name w:val="xl40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DEDED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403">
    <w:name w:val="xl4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DEDED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character" w:styleId="aff9">
    <w:name w:val="Emphasis"/>
    <w:basedOn w:val="a0"/>
    <w:uiPriority w:val="20"/>
    <w:qFormat/>
    <w:rPr>
      <w:i/>
      <w:iCs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a">
    <w:name w:val="footer"/>
    <w:basedOn w:val="a"/>
    <w:link w:val="af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SPC-Text">
    <w:name w:val="NSPC-Text"/>
    <w:basedOn w:val="a"/>
    <w:link w:val="NSPC-Text0"/>
    <w:qFormat/>
    <w:pPr>
      <w:spacing w:before="120" w:line="360" w:lineRule="auto"/>
      <w:ind w:firstLine="567"/>
      <w:jc w:val="both"/>
    </w:pPr>
    <w:rPr>
      <w:lang w:val="ru-RU" w:eastAsia="ru-RU"/>
    </w:rPr>
  </w:style>
  <w:style w:type="character" w:customStyle="1" w:styleId="NSPC-Text0">
    <w:name w:val="NSPC-Text Знак"/>
    <w:basedOn w:val="a0"/>
    <w:link w:val="NSPC-Text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mprivet.ru/" TargetMode="External"/><Relationship Id="rId13" Type="http://schemas.openxmlformats.org/officeDocument/2006/relationships/hyperlink" Target="https://www.ne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mprive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store.ru/catalog/app/ru.nesk.andro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ru.nesk.andro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sp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E867-C06D-42DA-9831-38A4912B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7211</Characters>
  <Application>Microsoft Office Word</Application>
  <DocSecurity>0</DocSecurity>
  <Lines>60</Lines>
  <Paragraphs>16</Paragraphs>
  <ScaleCrop>false</ScaleCrop>
  <Company>Alfa-Bank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Чикова Людмила Витальевна</cp:lastModifiedBy>
  <cp:revision>5</cp:revision>
  <dcterms:created xsi:type="dcterms:W3CDTF">2025-07-02T07:56:00Z</dcterms:created>
  <dcterms:modified xsi:type="dcterms:W3CDTF">2025-07-07T10:34:00Z</dcterms:modified>
</cp:coreProperties>
</file>